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bidi w:val="0"/>
        <w:adjustRightInd/>
        <w:snapToGrid/>
        <w:spacing w:line="600" w:lineRule="exact"/>
        <w:ind w:left="0" w:leftChars="0" w:firstLine="0" w:firstLineChars="0"/>
        <w:jc w:val="both"/>
        <w:textAlignment w:val="auto"/>
        <w:rPr>
          <w:rFonts w:hint="eastAsia" w:ascii="Times New Roman" w:hAnsi="Times New Roman" w:eastAsia="黑体" w:cs="黑体"/>
          <w:b w:val="0"/>
          <w:bCs w:val="0"/>
          <w:spacing w:val="0"/>
          <w:sz w:val="32"/>
          <w:szCs w:val="32"/>
          <w:highlight w:val="none"/>
          <w:lang w:val="en-US" w:eastAsia="zh-CN"/>
        </w:rPr>
      </w:pPr>
      <w:r>
        <w:rPr>
          <w:rFonts w:ascii="Times New Roman" w:hAnsi="Times New Roman" w:eastAsia="黑体" w:cs="黑体"/>
          <w:b w:val="0"/>
          <w:bCs w:val="0"/>
          <w:spacing w:val="0"/>
          <w:sz w:val="32"/>
          <w:szCs w:val="32"/>
          <w:highlight w:val="none"/>
        </w:rPr>
        <w:t>附件</w:t>
      </w:r>
      <w:r>
        <w:rPr>
          <w:rFonts w:hint="eastAsia" w:ascii="Times New Roman" w:hAnsi="Times New Roman" w:eastAsia="黑体" w:cs="黑体"/>
          <w:b w:val="0"/>
          <w:bCs w:val="0"/>
          <w:spacing w:val="0"/>
          <w:sz w:val="32"/>
          <w:szCs w:val="32"/>
          <w:highlight w:val="none"/>
          <w:lang w:val="en-US" w:eastAsia="zh-CN"/>
        </w:rPr>
        <w:t>1</w:t>
      </w:r>
    </w:p>
    <w:p>
      <w:pPr>
        <w:keepNext w:val="0"/>
        <w:keepLines w:val="0"/>
        <w:pageBreakBefore w:val="0"/>
        <w:widowControl w:val="0"/>
        <w:kinsoku/>
        <w:wordWrap/>
        <w:overflowPunct w:val="0"/>
        <w:topLinePunct w:val="0"/>
        <w:autoSpaceDE w:val="0"/>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方正小标宋简体"/>
          <w:bCs/>
          <w:sz w:val="44"/>
          <w:szCs w:val="44"/>
          <w:highlight w:val="none"/>
          <w:lang w:val="en-US" w:eastAsia="zh-CN"/>
        </w:rPr>
      </w:pPr>
      <w:r>
        <w:rPr>
          <w:rFonts w:hint="eastAsia" w:ascii="Times New Roman" w:hAnsi="Times New Roman" w:eastAsia="方正小标宋简体" w:cs="方正小标宋简体"/>
          <w:bCs/>
          <w:sz w:val="44"/>
          <w:szCs w:val="44"/>
          <w:highlight w:val="none"/>
          <w:lang w:val="en-US" w:eastAsia="zh-CN"/>
        </w:rPr>
        <w:t>十佳优秀应用案例名单</w:t>
      </w:r>
    </w:p>
    <w:p>
      <w:pPr>
        <w:keepNext w:val="0"/>
        <w:keepLines w:val="0"/>
        <w:pageBreakBefore w:val="0"/>
        <w:widowControl w:val="0"/>
        <w:kinsoku/>
        <w:wordWrap/>
        <w:overflowPunct w:val="0"/>
        <w:topLinePunct w:val="0"/>
        <w:autoSpaceDE w:val="0"/>
        <w:autoSpaceDN/>
        <w:bidi w:val="0"/>
        <w:adjustRightInd/>
        <w:snapToGrid/>
        <w:spacing w:line="600" w:lineRule="exact"/>
        <w:ind w:left="840" w:leftChars="200" w:hanging="420" w:hangingChars="200"/>
        <w:jc w:val="both"/>
        <w:textAlignment w:val="auto"/>
        <w:rPr>
          <w:rFonts w:hint="eastAsia" w:ascii="Times New Roman" w:hAnsi="Times New Roman" w:eastAsia="等线" w:cs="Times New Roman"/>
          <w:kern w:val="2"/>
          <w:sz w:val="21"/>
          <w:szCs w:val="24"/>
          <w:lang w:val="en-US" w:eastAsia="zh-CN" w:bidi="ar-SA"/>
        </w:rPr>
      </w:pPr>
    </w:p>
    <w:tbl>
      <w:tblPr>
        <w:tblStyle w:val="4"/>
        <w:tblW w:w="51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
        <w:gridCol w:w="2715"/>
        <w:gridCol w:w="3900"/>
        <w:gridCol w:w="7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blHeader/>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val="0"/>
              <w:autoSpaceDN/>
              <w:bidi w:val="0"/>
              <w:adjustRightInd/>
              <w:snapToGrid/>
              <w:spacing w:line="240" w:lineRule="auto"/>
              <w:ind w:firstLine="0" w:firstLineChars="0"/>
              <w:jc w:val="center"/>
              <w:textAlignment w:val="auto"/>
              <w:rPr>
                <w:rFonts w:hint="eastAsia" w:ascii="Times New Roman" w:hAnsi="Times New Roman" w:eastAsia="黑体" w:cs="黑体"/>
                <w:b w:val="0"/>
                <w:bCs w:val="0"/>
                <w:kern w:val="2"/>
                <w:sz w:val="24"/>
                <w:szCs w:val="24"/>
                <w:highlight w:val="none"/>
                <w:vertAlign w:val="baseline"/>
                <w:lang w:val="en-US" w:eastAsia="zh-CN" w:bidi="ar-SA"/>
              </w:rPr>
            </w:pPr>
            <w:r>
              <w:rPr>
                <w:rFonts w:hint="eastAsia" w:ascii="Times New Roman" w:hAnsi="Times New Roman" w:eastAsia="黑体" w:cs="黑体"/>
                <w:b w:val="0"/>
                <w:bCs w:val="0"/>
                <w:kern w:val="2"/>
                <w:sz w:val="24"/>
                <w:szCs w:val="24"/>
                <w:highlight w:val="none"/>
                <w:vertAlign w:val="baseline"/>
                <w:lang w:val="en-US" w:eastAsia="zh-CN" w:bidi="ar-SA"/>
              </w:rPr>
              <w:t>序号</w:t>
            </w:r>
          </w:p>
        </w:tc>
        <w:tc>
          <w:tcPr>
            <w:tcW w:w="27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val="0"/>
              <w:autoSpaceDN/>
              <w:bidi w:val="0"/>
              <w:adjustRightInd/>
              <w:snapToGrid/>
              <w:spacing w:line="240" w:lineRule="auto"/>
              <w:ind w:firstLine="0" w:firstLineChars="0"/>
              <w:jc w:val="center"/>
              <w:textAlignment w:val="auto"/>
              <w:rPr>
                <w:rFonts w:hint="eastAsia" w:ascii="Times New Roman" w:hAnsi="Times New Roman" w:eastAsia="黑体" w:cs="黑体"/>
                <w:b w:val="0"/>
                <w:bCs w:val="0"/>
                <w:kern w:val="2"/>
                <w:sz w:val="24"/>
                <w:szCs w:val="24"/>
                <w:highlight w:val="none"/>
                <w:vertAlign w:val="baseline"/>
                <w:lang w:val="en-US" w:eastAsia="zh-CN" w:bidi="ar-SA"/>
              </w:rPr>
            </w:pPr>
            <w:r>
              <w:rPr>
                <w:rFonts w:hint="eastAsia" w:ascii="Times New Roman" w:hAnsi="Times New Roman" w:eastAsia="黑体" w:cs="黑体"/>
                <w:b w:val="0"/>
                <w:bCs w:val="0"/>
                <w:kern w:val="2"/>
                <w:sz w:val="24"/>
                <w:szCs w:val="24"/>
                <w:highlight w:val="none"/>
                <w:vertAlign w:val="baseline"/>
                <w:lang w:val="en-US" w:eastAsia="zh-CN" w:bidi="ar-SA"/>
              </w:rPr>
              <w:t>案例名称</w:t>
            </w:r>
          </w:p>
        </w:tc>
        <w:tc>
          <w:tcPr>
            <w:tcW w:w="3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val="0"/>
              <w:autoSpaceDN/>
              <w:bidi w:val="0"/>
              <w:adjustRightInd/>
              <w:snapToGrid/>
              <w:spacing w:line="240" w:lineRule="auto"/>
              <w:ind w:firstLine="0" w:firstLineChars="0"/>
              <w:jc w:val="center"/>
              <w:textAlignment w:val="auto"/>
              <w:rPr>
                <w:rFonts w:hint="eastAsia" w:ascii="Times New Roman" w:hAnsi="Times New Roman" w:eastAsia="黑体" w:cs="黑体"/>
                <w:b w:val="0"/>
                <w:bCs w:val="0"/>
                <w:kern w:val="2"/>
                <w:sz w:val="24"/>
                <w:szCs w:val="24"/>
                <w:highlight w:val="none"/>
                <w:vertAlign w:val="baseline"/>
                <w:lang w:val="en-US" w:eastAsia="zh-CN" w:bidi="ar-SA"/>
              </w:rPr>
            </w:pPr>
            <w:r>
              <w:rPr>
                <w:rFonts w:hint="eastAsia" w:ascii="Times New Roman" w:hAnsi="Times New Roman" w:eastAsia="黑体" w:cs="黑体"/>
                <w:b w:val="0"/>
                <w:bCs w:val="0"/>
                <w:kern w:val="2"/>
                <w:sz w:val="24"/>
                <w:szCs w:val="24"/>
                <w:highlight w:val="none"/>
                <w:vertAlign w:val="baseline"/>
                <w:lang w:val="en-US" w:eastAsia="zh-CN" w:bidi="ar-SA"/>
              </w:rPr>
              <w:t>申报单位</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val="0"/>
              <w:autoSpaceDN/>
              <w:bidi w:val="0"/>
              <w:adjustRightInd/>
              <w:snapToGrid/>
              <w:spacing w:line="240" w:lineRule="auto"/>
              <w:ind w:firstLine="0" w:firstLineChars="0"/>
              <w:jc w:val="center"/>
              <w:textAlignment w:val="auto"/>
              <w:rPr>
                <w:rFonts w:hint="eastAsia" w:ascii="Times New Roman" w:hAnsi="Times New Roman" w:eastAsia="黑体" w:cs="黑体"/>
                <w:b w:val="0"/>
                <w:bCs w:val="0"/>
                <w:kern w:val="2"/>
                <w:sz w:val="24"/>
                <w:szCs w:val="24"/>
                <w:highlight w:val="none"/>
                <w:vertAlign w:val="baseline"/>
                <w:lang w:val="en-US" w:eastAsia="zh-CN" w:bidi="ar-SA"/>
              </w:rPr>
            </w:pPr>
            <w:r>
              <w:rPr>
                <w:rFonts w:hint="eastAsia" w:ascii="Times New Roman" w:hAnsi="Times New Roman" w:eastAsia="黑体" w:cs="黑体"/>
                <w:b w:val="0"/>
                <w:bCs w:val="0"/>
                <w:kern w:val="2"/>
                <w:sz w:val="24"/>
                <w:szCs w:val="24"/>
                <w:highlight w:val="none"/>
                <w:vertAlign w:val="baseline"/>
                <w:lang w:val="en-US" w:eastAsia="zh-CN" w:bidi="ar-SA"/>
              </w:rPr>
              <w:t>经验做法和成效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实景三维赋能绿色矿山建设</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四川省地质调查研究院测绘地理信息中心、四川省自然资源厅矿产资源保护监督处、成都理工大学</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依托实景三维平台，实现矿区地表厘米级精度重构，构建绿色矿山数智化开采体系，搭建多维度矿区三维数据底座，建立安全管理系统，探索绿色矿山安全开发新标准，优化生态修复模式，开拓绿色矿山环境治理新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基于实景三维的城市“招规建管运”全生命周期智慧化管理服务</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成都市勘察测绘研究院</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利用实景三维数据成果，针对城市招商、规划、建设、管理、运营等环节，形成贯穿城市“招规建管运”全生命周期的数字化闭环管理能力，为政府决策、企业协同和市民服务提供精准、动态、可视化的技术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实景三维赋能泥石流灾害智能防控</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四川省国土科学技术研究院（四川省卫星应用技术中心）、四川省国土空间生态修复与地质灾害防治研究院、四川省地质调查研究院测绘地理信息中心</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通过“卫星+无人机正射+无人机倾斜摄影”技术手段，构建泥石流沟多尺度实景三维，建设泥石流灾害成灾风险动态评估与应急救援实景三维管理平台，支撑泥石流灾前常态化监测监管、灾后应急抢险及重建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实景三维数据赋能川西复杂山区城镇功能疏解与地灾精准防治</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四川省第一地质大队</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sz w:val="24"/>
                <w:szCs w:val="24"/>
                <w:u w:val="none"/>
              </w:rPr>
              <w:t>以实</w:t>
            </w:r>
            <w:r>
              <w:rPr>
                <w:rFonts w:hint="eastAsia" w:ascii="Times New Roman" w:hAnsi="Times New Roman" w:eastAsia="仿宋_GB2312" w:cs="仿宋_GB2312"/>
                <w:i w:val="0"/>
                <w:iCs w:val="0"/>
                <w:color w:val="000000"/>
                <w:sz w:val="24"/>
                <w:szCs w:val="24"/>
                <w:u w:val="none"/>
                <w:lang w:val="en-US" w:eastAsia="zh-CN"/>
              </w:rPr>
              <w:t>景</w:t>
            </w:r>
            <w:r>
              <w:rPr>
                <w:rFonts w:hint="eastAsia" w:ascii="Times New Roman" w:hAnsi="Times New Roman" w:eastAsia="仿宋_GB2312" w:cs="仿宋_GB2312"/>
                <w:i w:val="0"/>
                <w:iCs w:val="0"/>
                <w:color w:val="000000"/>
                <w:sz w:val="24"/>
                <w:szCs w:val="24"/>
                <w:u w:val="none"/>
              </w:rPr>
              <w:t>三维数据为核心，联合使用LiDAR及数值仿真技术对县城周边高陡斜坡进行精细化调查，支撑县城功能疏解及地灾精准防治</w:t>
            </w:r>
            <w:r>
              <w:rPr>
                <w:rFonts w:hint="eastAsia" w:ascii="Times New Roman" w:hAnsi="Times New Roman" w:eastAsia="仿宋_GB2312" w:cs="仿宋_GB2312"/>
                <w:i w:val="0"/>
                <w:iCs w:val="0"/>
                <w:color w:val="000000"/>
                <w:sz w:val="24"/>
                <w:szCs w:val="24"/>
                <w:u w:val="none"/>
                <w:lang w:eastAsia="zh-CN"/>
              </w:rPr>
              <w:t>，实现了从“平面分析”到“</w:t>
            </w:r>
            <w:r>
              <w:rPr>
                <w:rFonts w:hint="eastAsia" w:ascii="Times New Roman" w:hAnsi="Times New Roman" w:eastAsia="仿宋_GB2312" w:cs="仿宋_GB2312"/>
                <w:i w:val="0"/>
                <w:iCs w:val="0"/>
                <w:color w:val="000000"/>
                <w:sz w:val="24"/>
                <w:szCs w:val="24"/>
                <w:u w:val="none"/>
                <w:lang w:val="en-US" w:eastAsia="zh-CN"/>
              </w:rPr>
              <w:t>立</w:t>
            </w:r>
            <w:r>
              <w:rPr>
                <w:rFonts w:hint="eastAsia" w:ascii="Times New Roman" w:hAnsi="Times New Roman" w:eastAsia="仿宋_GB2312" w:cs="仿宋_GB2312"/>
                <w:i w:val="0"/>
                <w:iCs w:val="0"/>
                <w:color w:val="000000"/>
                <w:sz w:val="24"/>
                <w:szCs w:val="24"/>
                <w:u w:val="none"/>
                <w:lang w:eastAsia="zh-CN"/>
              </w:rPr>
              <w:t>体管控”、从“经验判断”到“数据驱动”的跨越</w:t>
            </w:r>
            <w:r>
              <w:rPr>
                <w:rFonts w:hint="eastAsia" w:ascii="Times New Roman" w:hAnsi="Times New Roman" w:eastAsia="仿宋_GB2312" w:cs="仿宋_GB2312"/>
                <w:i w:val="0"/>
                <w:iCs w:val="0"/>
                <w:color w:val="000000"/>
                <w:sz w:val="24"/>
                <w:szCs w:val="24"/>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基于地理数据构筑城市数字孪生新生态</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达州市自然资源和规划局、达州市数据局</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sz w:val="24"/>
                <w:szCs w:val="24"/>
                <w:u w:val="none"/>
                <w:lang w:eastAsia="zh-CN"/>
              </w:rPr>
            </w:pPr>
            <w:r>
              <w:rPr>
                <w:rFonts w:hint="eastAsia" w:ascii="Times New Roman" w:hAnsi="Times New Roman" w:eastAsia="仿宋_GB2312" w:cs="仿宋_GB2312"/>
                <w:i w:val="0"/>
                <w:iCs w:val="0"/>
                <w:color w:val="000000"/>
                <w:kern w:val="0"/>
                <w:sz w:val="24"/>
                <w:szCs w:val="24"/>
                <w:u w:val="none"/>
                <w:lang w:val="en-US" w:eastAsia="zh-CN" w:bidi="ar"/>
              </w:rPr>
              <w:t>搭建达州城市数据孪生平台，融合城市感知监测、实时监控等业务数据，为城市管理、应急指挥等应用场景提供实景三维可视化、三维空间分析及辅助决策能力，筑牢城市信息模型发展根基。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三维筑牢生态红线·科技赋能“绿水青山”</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四川省国土科学技术研究院（四川省卫星应用技术中心）、四川省自然资源厅国土空间规划局</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通过实景三维技术构建厘米级生态地图，叠加生态保护红线“天窗”、交通道路、居民点等生态阻力因子，生成综合生态廊道，“三维技术+生态治理”的矿山修复标准化模式，为全省生态保护红线内矿山修复提供可参考的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7</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龙泉山城市森林公园实景三维构建及系统研发应用</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四川创数智慧科技股份有限公司、电子科技大学、成都龙泉山城市森林公园保护和发展中心</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构建森林公园三维时空数字基底，研发森林地图与虚拟仿真三维系统，实现园区系统管理、可视化森林经营服务、森林资源遥感监测评价等功能，为解决面向城市森林公园特殊区域的实景三维建模和虚拟可视化系统应用带来创新引领和示范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智览川西·实景三维辅助城乡数字化管理</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四川省天府容大信息科技有限公司、石棉县自然资源和规划局</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以石棉县全域地形级实景三维场景为基底，融合不同时相、不同部门等多源数据，构建了“智览川西·石棉”实景三维数字化平台，实现了政府决策部门在自然资源管理、生态保护治理、应急救灾等方面的三维应用，助力城乡数字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实景三维支撑汉源“7.20”、康定“8.03”山洪泥石流灾害应急抢险</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四川省核地质调查研究所、四川省地质调查研究院调查规划研究中心</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通过实景三维对灾害物源进行识别、对灾情进行分析、对风险区进行排查和管控、对灾后重建位置快速选址，为灾害应急处置和救援安排提供有效的数据支撑和科学决策。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松潘“智慧一张图”综合应用平台</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四川测绘地理信息局测绘技术服务中心</w:t>
            </w:r>
          </w:p>
        </w:tc>
        <w:tc>
          <w:tcPr>
            <w:tcW w:w="7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依托多源多尺度基础地理信息基底，实现跨部门、跨层级、跨领域数据整合与协同，构建县级综合数据管理平台，有效提升松潘县应急指挥效率和宏观决策可靠性，实现了一体化管理，智能化指挥。</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0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等线" w:hAnsi="等线" w:eastAsia="等线"/>
    </w:rPr>
  </w:style>
  <w:style w:type="paragraph" w:styleId="3">
    <w:name w:val="footer"/>
    <w:basedOn w:val="1"/>
    <w:next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2025-06-13T08:33:48Z</dcterms:created>
  <dc:creator>Administrator</dc:creator>
  <cp:lastModifiedBy>Administrator</cp:lastModifiedBy>
  <dcterms:modified xsi:type="dcterms:W3CDTF">2025-06-13T08:34:22Z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8A16683422364AED82CB587DF37FECB9</vt:lpwstr>
  </property>
</Properties>
</file>